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Zombie Apocalypse Preparation</w:t>
      </w:r>
    </w:p>
    <w:p>
      <w:pPr>
        <w:spacing w:after="400"/>
        <w:jc w:val="center"/>
      </w:pPr>
      <w:r>
        <w:rPr>
          <w:i/>
          <w:iCs/>
          <w:sz w:val="22"/>
          <w:szCs w:val="22"/>
        </w:rPr>
        <w:t xml:space="preserve">A Practical 2026 Guide to Emergency Preparedness Through the Lens of the Undead</w:t>
      </w:r>
    </w:p>
    <w:p>
      <w:pPr>
        <w:spacing w:after="400"/>
        <w:jc w:val="center"/>
      </w:pPr>
      <w:r>
        <w:rPr>
          <w:color w:val="666666"/>
          <w:sz w:val="20"/>
          <w:szCs w:val="20"/>
        </w:rPr>
        <w:t xml:space="preserve">By Tom Morgan (Digital Research Strategist, 15+ years) in collaboration with Claude AI</w:t>
      </w:r>
    </w:p>
    <w:p>
      <w:pPr>
        <w:spacing w:after="200"/>
      </w:pPr>
      <w:r>
        <w:t xml:space="preserve">The CDC's 2011 Zombie Preparedness campaign made headlines not because federal epidemiologists genuinely expected the dead to rise, but because they recognized a fundamental truth about emergency preparedness: people actually pay attention when you make it interesting. As then-CDC Director Dr. Ali Khan noted, if you're equipped to handle a zombie apocalypse, you're prepared for hurricanes, pandemics, and just about anything else nature or humanity throws at you.</w:t>
      </w:r>
    </w:p>
    <w:p>
      <w:pPr>
        <w:spacing w:after="200"/>
      </w:pPr>
      <w:r>
        <w:t xml:space="preserve">Cornell University researchers took this concept further in 2015, using statistical mechanics to model how a zombie outbreak might spread across the continental United States. Their findings, published in the journal Physical Review E, suggested that major cities would fall within weeks while remote mountain regions might remain unaffected for months. The practical takeaway? Population density, resource access, and advance preparation determine survival outcomes regardless of the threat type.</w:t>
      </w:r>
    </w:p>
    <w:p>
      <w:pPr>
        <w:spacing w:after="200"/>
      </w:pPr>
      <w:r>
        <w:t xml:space="preserve">This guide synthesizes emergency management research, prepper community wisdom, and disaster response best practices into an actionable framework. Whether you're preparing for a Category 5 hurricane, extended grid failure, or yes, the theoretical shambling horde, these strategies apply universally.</w:t>
      </w:r>
    </w:p>
    <w:p>
      <w:pPr>
        <w:pStyle w:val="Heading1"/>
      </w:pPr>
      <w:r>
        <w:t xml:space="preserve">Understanding the Threat Landscape</w:t>
      </w:r>
    </w:p>
    <w:p>
      <w:pPr>
        <w:spacing w:after="200"/>
      </w:pPr>
      <w:r>
        <w:t xml:space="preserve">Emergency management professor David Frazier at Georgetown University frames disaster preparedness around a core principle: you are your own first responder. In the critical first 72 hours of any major disaster, professional emergency services may be overwhelmed, inaccessible, or simply unable to reach you. The Federal Emergency Management Agency (FEMA) and the American Red Cross both emphasize building self-sufficiency for a minimum three-day period, though many preparedness experts recommend extending this to two weeks.</w:t>
      </w:r>
    </w:p>
    <w:p>
      <w:pPr>
        <w:spacing w:after="200"/>
      </w:pPr>
      <w:r>
        <w:t xml:space="preserve">Cornell's zombie outbreak simulation revealed that urban centers with populations exceeding 100,000 would become untenable within four weeks of a major outbreak. Graduate student Alex Alemi, who led the research team, noted that infection spread follows predictable mathematical patterns regardless of the specific pathogen. Dense populations create exponential transmission curves, while geographical barriers and reduced human density slow propagation dramatically.</w:t>
      </w:r>
    </w:p>
    <w:p>
      <w:pPr>
        <w:pStyle w:val="Heading2"/>
      </w:pPr>
      <w:r>
        <w:t xml:space="preserve">The Three Pillars of Survival</w:t>
      </w:r>
    </w:p>
    <w:p>
      <w:pPr>
        <w:spacing w:after="200"/>
      </w:pPr>
      <w:r>
        <w:t xml:space="preserve">Disaster preparedness experts consistently identify three interconnected survival priorities:</w:t>
      </w:r>
    </w:p>
    <w:p>
      <w:pPr>
        <w:pStyle w:val="ListParagraph"/>
        <w:numPr>
          <w:ilvl w:val="0"/>
          <w:numId w:val="2"/>
        </w:numPr>
      </w:pPr>
      <w:r>
        <w:rPr>
          <w:b/>
          <w:bCs/>
        </w:rPr>
        <w:t xml:space="preserve">Immediate Life Safety: </w:t>
      </w:r>
      <w:r>
        <w:t xml:space="preserve">Securing shelter, avoiding immediate threats, and establishing communication with emergency services or family members.</w:t>
      </w:r>
    </w:p>
    <w:p>
      <w:pPr>
        <w:pStyle w:val="ListParagraph"/>
        <w:numPr>
          <w:ilvl w:val="0"/>
          <w:numId w:val="2"/>
        </w:numPr>
      </w:pPr>
      <w:r>
        <w:rPr>
          <w:b/>
          <w:bCs/>
        </w:rPr>
        <w:t xml:space="preserve">Resource Sustainability: </w:t>
      </w:r>
      <w:r>
        <w:t xml:space="preserve">Maintaining access to water, food, medical supplies, and essential utilities for extended periods without outside support.</w:t>
      </w:r>
    </w:p>
    <w:p>
      <w:pPr>
        <w:pStyle w:val="ListParagraph"/>
        <w:numPr>
          <w:ilvl w:val="0"/>
          <w:numId w:val="2"/>
        </w:numPr>
        <w:spacing w:after="200"/>
      </w:pPr>
      <w:r>
        <w:rPr>
          <w:b/>
          <w:bCs/>
        </w:rPr>
        <w:t xml:space="preserve">Community Resilience: </w:t>
      </w:r>
      <w:r>
        <w:t xml:space="preserve">Building cooperative networks that multiply individual capabilities and provide mutual aid during recovery phases.</w:t>
      </w:r>
    </w:p>
    <w:p>
      <w:pPr>
        <w:pStyle w:val="Heading1"/>
      </w:pPr>
      <w:r>
        <w:t xml:space="preserve">Building Your Emergency Supply Kit</w:t>
      </w:r>
    </w:p>
    <w:p>
      <w:pPr>
        <w:spacing w:after="200"/>
      </w:pPr>
      <w:r>
        <w:t xml:space="preserve">The foundation of zombie apocalypse preparedness, like any emergency preparedness, starts with the bug-out bag. This 72-hour kit should contain everything needed to survive the initial crisis phase when normal supply chains and services are unavailable. Ready.gov, FEMA, and the American Red Cross provide overlapping recommendations that form the baseline for any serious preparedness effort.</w:t>
      </w:r>
    </w:p>
    <w:p>
      <w:pPr>
        <w:pStyle w:val="Heading2"/>
      </w:pPr>
      <w:r>
        <w:t xml:space="preserve">Water: The Non-Negotiable Priority</w:t>
      </w:r>
    </w:p>
    <w:p>
      <w:pPr>
        <w:spacing w:after="200"/>
      </w:pPr>
      <w:r>
        <w:t xml:space="preserve">Humans can survive approximately three weeks without food but only three to five days without water. The CDC recommends storing one gallon per person per day for drinking and sanitation, which means a family of four needs 12 gallons minimum for a 72-hour emergency kit. Water weighs 8.34 pounds per gallon, making storage and transport a significant logistical challenge.</w:t>
      </w:r>
    </w:p>
    <w:p>
      <w:pPr>
        <w:spacing w:after="200"/>
      </w:pPr>
      <w:r>
        <w:t xml:space="preserve">Beyond stored water, preparedness requires purification capability. Options include water purification tablets like Potable Aqua, portable filtration systems such as LifeStraw or Sawyer filters, and chemical treatment methods. The University of Georgia Extension Service recommends maintaining both stored water and purification equipment as redundant systems.</w:t>
      </w:r>
    </w:p>
    <w:p>
      <w:pPr>
        <w:pStyle w:val="Heading2"/>
      </w:pPr>
      <w:r>
        <w:t xml:space="preserve">Food Storage Strategy</w:t>
      </w:r>
    </w:p>
    <w:p>
      <w:pPr>
        <w:spacing w:after="200"/>
      </w:pPr>
      <w:r>
        <w:t xml:space="preserve">Emergency food storage follows a tiered approach. Short-term supplies (72 hours to two weeks) should emphasize ready-to-eat items requiring minimal preparation and no cooking. Non-perishable options include canned goods, energy bars, dried fruits, nuts, and peanut butter. The USDA notes that properly stored canned goods remain safe indefinitely, though quality may degrade after 2-5 years depending on the product.</w:t>
      </w:r>
    </w:p>
    <w:p>
      <w:pPr>
        <w:spacing w:after="200"/>
      </w:pPr>
      <w:r>
        <w:t xml:space="preserve">Long-term storage extends to bulk staples with nearly unlimited shelf life when properly stored: wheat, white rice, dried beans, salt, and honey. The Church of Jesus Christ of Latter-Day Saints has maintained detailed food storage guidelines for decades, recommending approximately 400 pounds of grains, 60 pounds of legumes, and smaller quantities of fats, sugars, and supplemental foods per adult per year.</w:t>
      </w:r>
    </w:p>
    <w:p>
      <w:pPr>
        <w:spacing w:after="200"/>
      </w:pPr>
      <w:r>
        <w:t xml:space="preserve">Freeze-dried meals from suppliers like Mountain House or Augason Farms offer 25-30 year shelf life with minimal weight and preparation requirements, making them excellent for both bug-out bags and long-term storage. These typically cost $3-8 per serving but provide balanced nutrition with simple hot water reconstitution.</w:t>
      </w:r>
    </w:p>
    <w:p>
      <w:pPr>
        <w:pStyle w:val="Heading2"/>
      </w:pPr>
      <w:r>
        <w:t xml:space="preserve">Essential Emergency Kit Components</w:t>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100"/>
          <w:left w:type="dxa" w:w="180"/>
          <w:bottom w:type="dxa" w:w="100"/>
          <w:right w:type="dxa" w:w="180"/>
        </w:tblCellMar>
      </w:tblPr>
      <w:tblGrid>
        <w:gridCol w:w="3120"/>
        <w:gridCol w:w="3120"/>
        <w:gridCol w:w="3120"/>
      </w:tblGrid>
      <w:tr>
        <w:trPr>
          <w:tblHeader/>
        </w:trPr>
        <w:tc>
          <w:tcPr>
            <w:tcW w:type="dxa" w:w="3120"/>
            <w:tcBorders>
              <w:top w:val="single" w:color="CCCCCC" w:sz="1"/>
              <w:left w:val="single" w:color="CCCCCC" w:sz="1"/>
              <w:bottom w:val="single" w:color="CCCCCC" w:sz="1"/>
              <w:right w:val="single" w:color="CCCCCC" w:sz="1"/>
            </w:tcBorders>
            <w:shd w:fill="1a1a2e" w:val="clear"/>
          </w:tcPr>
          <w:p>
            <w:pPr>
              <w:jc w:val="center"/>
            </w:pPr>
            <w:r>
              <w:rPr>
                <w:b/>
                <w:bCs/>
                <w:color w:val="FFFFFF"/>
              </w:rPr>
              <w:t xml:space="preserve">Category</w:t>
            </w:r>
          </w:p>
        </w:tc>
        <w:tc>
          <w:tcPr>
            <w:tcW w:type="dxa" w:w="3120"/>
            <w:tcBorders>
              <w:top w:val="single" w:color="CCCCCC" w:sz="1"/>
              <w:left w:val="single" w:color="CCCCCC" w:sz="1"/>
              <w:bottom w:val="single" w:color="CCCCCC" w:sz="1"/>
              <w:right w:val="single" w:color="CCCCCC" w:sz="1"/>
            </w:tcBorders>
            <w:shd w:fill="1a1a2e" w:val="clear"/>
          </w:tcPr>
          <w:p>
            <w:pPr>
              <w:jc w:val="center"/>
            </w:pPr>
            <w:r>
              <w:rPr>
                <w:b/>
                <w:bCs/>
                <w:color w:val="FFFFFF"/>
              </w:rPr>
              <w:t xml:space="preserve">Essential Items</w:t>
            </w:r>
          </w:p>
        </w:tc>
        <w:tc>
          <w:tcPr>
            <w:tcW w:type="dxa" w:w="3120"/>
            <w:tcBorders>
              <w:top w:val="single" w:color="CCCCCC" w:sz="1"/>
              <w:left w:val="single" w:color="CCCCCC" w:sz="1"/>
              <w:bottom w:val="single" w:color="CCCCCC" w:sz="1"/>
              <w:right w:val="single" w:color="CCCCCC" w:sz="1"/>
            </w:tcBorders>
            <w:shd w:fill="1a1a2e" w:val="clear"/>
          </w:tcPr>
          <w:p>
            <w:pPr>
              <w:jc w:val="center"/>
            </w:pPr>
            <w:r>
              <w:rPr>
                <w:b/>
                <w:bCs/>
                <w:color w:val="FFFFFF"/>
              </w:rPr>
              <w:t xml:space="preserve">Notes</w:t>
            </w:r>
          </w:p>
        </w:tc>
      </w:tr>
      <w:tr>
        <w:tc>
          <w:tcPr>
            <w:tcW w:type="dxa" w:w="3120"/>
            <w:tcBorders>
              <w:top w:val="single" w:color="CCCCCC" w:sz="1"/>
              <w:left w:val="single" w:color="CCCCCC" w:sz="1"/>
              <w:bottom w:val="single" w:color="CCCCCC" w:sz="1"/>
              <w:right w:val="single" w:color="CCCCCC" w:sz="1"/>
            </w:tcBorders>
          </w:tcPr>
          <w:p>
            <w:r>
              <w:rPr>
                <w:b/>
                <w:bCs/>
              </w:rPr>
              <w:t xml:space="preserve">Hydration</w:t>
            </w:r>
          </w:p>
        </w:tc>
        <w:tc>
          <w:tcPr>
            <w:tcW w:type="dxa" w:w="3120"/>
            <w:tcBorders>
              <w:top w:val="single" w:color="CCCCCC" w:sz="1"/>
              <w:left w:val="single" w:color="CCCCCC" w:sz="1"/>
              <w:bottom w:val="single" w:color="CCCCCC" w:sz="1"/>
              <w:right w:val="single" w:color="CCCCCC" w:sz="1"/>
            </w:tcBorders>
          </w:tcPr>
          <w:p>
            <w:r>
              <w:t xml:space="preserve">1 gallon/person/day, water purification tablets, portable filter</w:t>
            </w:r>
          </w:p>
        </w:tc>
        <w:tc>
          <w:tcPr>
            <w:tcW w:type="dxa" w:w="3120"/>
            <w:tcBorders>
              <w:top w:val="single" w:color="CCCCCC" w:sz="1"/>
              <w:left w:val="single" w:color="CCCCCC" w:sz="1"/>
              <w:bottom w:val="single" w:color="CCCCCC" w:sz="1"/>
              <w:right w:val="single" w:color="CCCCCC" w:sz="1"/>
            </w:tcBorders>
          </w:tcPr>
          <w:p>
            <w:r>
              <w:t xml:space="preserve">3-day minimum; 14-day recommended</w:t>
            </w:r>
          </w:p>
        </w:tc>
      </w:tr>
      <w:tr>
        <w:tc>
          <w:tcPr>
            <w:tcW w:type="dxa" w:w="3120"/>
            <w:tcBorders>
              <w:top w:val="single" w:color="CCCCCC" w:sz="1"/>
              <w:left w:val="single" w:color="CCCCCC" w:sz="1"/>
              <w:bottom w:val="single" w:color="CCCCCC" w:sz="1"/>
              <w:right w:val="single" w:color="CCCCCC" w:sz="1"/>
            </w:tcBorders>
          </w:tcPr>
          <w:p>
            <w:r>
              <w:rPr>
                <w:b/>
                <w:bCs/>
              </w:rPr>
              <w:t xml:space="preserve">Nutrition</w:t>
            </w:r>
          </w:p>
        </w:tc>
        <w:tc>
          <w:tcPr>
            <w:tcW w:type="dxa" w:w="3120"/>
            <w:tcBorders>
              <w:top w:val="single" w:color="CCCCCC" w:sz="1"/>
              <w:left w:val="single" w:color="CCCCCC" w:sz="1"/>
              <w:bottom w:val="single" w:color="CCCCCC" w:sz="1"/>
              <w:right w:val="single" w:color="CCCCCC" w:sz="1"/>
            </w:tcBorders>
          </w:tcPr>
          <w:p>
            <w:r>
              <w:t xml:space="preserve">MREs, energy bars, canned goods, dried foods, manual can opener</w:t>
            </w:r>
          </w:p>
        </w:tc>
        <w:tc>
          <w:tcPr>
            <w:tcW w:type="dxa" w:w="3120"/>
            <w:tcBorders>
              <w:top w:val="single" w:color="CCCCCC" w:sz="1"/>
              <w:left w:val="single" w:color="CCCCCC" w:sz="1"/>
              <w:bottom w:val="single" w:color="CCCCCC" w:sz="1"/>
              <w:right w:val="single" w:color="CCCCCC" w:sz="1"/>
            </w:tcBorders>
          </w:tcPr>
          <w:p>
            <w:r>
              <w:t xml:space="preserve">2,000+ calories/day target</w:t>
            </w:r>
          </w:p>
        </w:tc>
      </w:tr>
      <w:tr>
        <w:tc>
          <w:tcPr>
            <w:tcW w:type="dxa" w:w="3120"/>
            <w:tcBorders>
              <w:top w:val="single" w:color="CCCCCC" w:sz="1"/>
              <w:left w:val="single" w:color="CCCCCC" w:sz="1"/>
              <w:bottom w:val="single" w:color="CCCCCC" w:sz="1"/>
              <w:right w:val="single" w:color="CCCCCC" w:sz="1"/>
            </w:tcBorders>
          </w:tcPr>
          <w:p>
            <w:r>
              <w:rPr>
                <w:b/>
                <w:bCs/>
              </w:rPr>
              <w:t xml:space="preserve">Medical</w:t>
            </w:r>
          </w:p>
        </w:tc>
        <w:tc>
          <w:tcPr>
            <w:tcW w:type="dxa" w:w="3120"/>
            <w:tcBorders>
              <w:top w:val="single" w:color="CCCCCC" w:sz="1"/>
              <w:left w:val="single" w:color="CCCCCC" w:sz="1"/>
              <w:bottom w:val="single" w:color="CCCCCC" w:sz="1"/>
              <w:right w:val="single" w:color="CCCCCC" w:sz="1"/>
            </w:tcBorders>
          </w:tcPr>
          <w:p>
            <w:r>
              <w:t xml:space="preserve">First aid kit, prescription medications, trauma supplies (IFAK)</w:t>
            </w:r>
          </w:p>
        </w:tc>
        <w:tc>
          <w:tcPr>
            <w:tcW w:type="dxa" w:w="3120"/>
            <w:tcBorders>
              <w:top w:val="single" w:color="CCCCCC" w:sz="1"/>
              <w:left w:val="single" w:color="CCCCCC" w:sz="1"/>
              <w:bottom w:val="single" w:color="CCCCCC" w:sz="1"/>
              <w:right w:val="single" w:color="CCCCCC" w:sz="1"/>
            </w:tcBorders>
          </w:tcPr>
          <w:p>
            <w:r>
              <w:t xml:space="preserve">30-day medication supply</w:t>
            </w:r>
          </w:p>
        </w:tc>
      </w:tr>
      <w:tr>
        <w:tc>
          <w:tcPr>
            <w:tcW w:type="dxa" w:w="3120"/>
            <w:tcBorders>
              <w:top w:val="single" w:color="CCCCCC" w:sz="1"/>
              <w:left w:val="single" w:color="CCCCCC" w:sz="1"/>
              <w:bottom w:val="single" w:color="CCCCCC" w:sz="1"/>
              <w:right w:val="single" w:color="CCCCCC" w:sz="1"/>
            </w:tcBorders>
          </w:tcPr>
          <w:p>
            <w:r>
              <w:rPr>
                <w:b/>
                <w:bCs/>
              </w:rPr>
              <w:t xml:space="preserve">Light/Power</w:t>
            </w:r>
          </w:p>
        </w:tc>
        <w:tc>
          <w:tcPr>
            <w:tcW w:type="dxa" w:w="3120"/>
            <w:tcBorders>
              <w:top w:val="single" w:color="CCCCCC" w:sz="1"/>
              <w:left w:val="single" w:color="CCCCCC" w:sz="1"/>
              <w:bottom w:val="single" w:color="CCCCCC" w:sz="1"/>
              <w:right w:val="single" w:color="CCCCCC" w:sz="1"/>
            </w:tcBorders>
          </w:tcPr>
          <w:p>
            <w:r>
              <w:t xml:space="preserve">Flashlights, headlamp, batteries, hand-crank radio, solar charger</w:t>
            </w:r>
          </w:p>
        </w:tc>
        <w:tc>
          <w:tcPr>
            <w:tcW w:type="dxa" w:w="3120"/>
            <w:tcBorders>
              <w:top w:val="single" w:color="CCCCCC" w:sz="1"/>
              <w:left w:val="single" w:color="CCCCCC" w:sz="1"/>
              <w:bottom w:val="single" w:color="CCCCCC" w:sz="1"/>
              <w:right w:val="single" w:color="CCCCCC" w:sz="1"/>
            </w:tcBorders>
          </w:tcPr>
          <w:p>
            <w:r>
              <w:t xml:space="preserve">NOAA weather radio essential</w:t>
            </w:r>
          </w:p>
        </w:tc>
      </w:tr>
      <w:tr>
        <w:tc>
          <w:tcPr>
            <w:tcW w:type="dxa" w:w="3120"/>
            <w:tcBorders>
              <w:top w:val="single" w:color="CCCCCC" w:sz="1"/>
              <w:left w:val="single" w:color="CCCCCC" w:sz="1"/>
              <w:bottom w:val="single" w:color="CCCCCC" w:sz="1"/>
              <w:right w:val="single" w:color="CCCCCC" w:sz="1"/>
            </w:tcBorders>
          </w:tcPr>
          <w:p>
            <w:r>
              <w:rPr>
                <w:b/>
                <w:bCs/>
              </w:rPr>
              <w:t xml:space="preserve">Tools</w:t>
            </w:r>
          </w:p>
        </w:tc>
        <w:tc>
          <w:tcPr>
            <w:tcW w:type="dxa" w:w="3120"/>
            <w:tcBorders>
              <w:top w:val="single" w:color="CCCCCC" w:sz="1"/>
              <w:left w:val="single" w:color="CCCCCC" w:sz="1"/>
              <w:bottom w:val="single" w:color="CCCCCC" w:sz="1"/>
              <w:right w:val="single" w:color="CCCCCC" w:sz="1"/>
            </w:tcBorders>
          </w:tcPr>
          <w:p>
            <w:r>
              <w:t xml:space="preserve">Multi-tool, duct tape, rope/paracord, fire starters, knife</w:t>
            </w:r>
          </w:p>
        </w:tc>
        <w:tc>
          <w:tcPr>
            <w:tcW w:type="dxa" w:w="3120"/>
            <w:tcBorders>
              <w:top w:val="single" w:color="CCCCCC" w:sz="1"/>
              <w:left w:val="single" w:color="CCCCCC" w:sz="1"/>
              <w:bottom w:val="single" w:color="CCCCCC" w:sz="1"/>
              <w:right w:val="single" w:color="CCCCCC" w:sz="1"/>
            </w:tcBorders>
          </w:tcPr>
          <w:p>
            <w:r>
              <w:t xml:space="preserve">Redundancy recommended</w:t>
            </w:r>
          </w:p>
        </w:tc>
      </w:tr>
      <w:tr>
        <w:tc>
          <w:tcPr>
            <w:tcW w:type="dxa" w:w="3120"/>
            <w:tcBorders>
              <w:top w:val="single" w:color="CCCCCC" w:sz="1"/>
              <w:left w:val="single" w:color="CCCCCC" w:sz="1"/>
              <w:bottom w:val="single" w:color="CCCCCC" w:sz="1"/>
              <w:right w:val="single" w:color="CCCCCC" w:sz="1"/>
            </w:tcBorders>
          </w:tcPr>
          <w:p>
            <w:r>
              <w:rPr>
                <w:b/>
                <w:bCs/>
              </w:rPr>
              <w:t xml:space="preserve">Documents</w:t>
            </w:r>
          </w:p>
        </w:tc>
        <w:tc>
          <w:tcPr>
            <w:tcW w:type="dxa" w:w="3120"/>
            <w:tcBorders>
              <w:top w:val="single" w:color="CCCCCC" w:sz="1"/>
              <w:left w:val="single" w:color="CCCCCC" w:sz="1"/>
              <w:bottom w:val="single" w:color="CCCCCC" w:sz="1"/>
              <w:right w:val="single" w:color="CCCCCC" w:sz="1"/>
            </w:tcBorders>
          </w:tcPr>
          <w:p>
            <w:r>
              <w:t xml:space="preserve">ID copies, insurance papers, cash, emergency contacts, maps</w:t>
            </w:r>
          </w:p>
        </w:tc>
        <w:tc>
          <w:tcPr>
            <w:tcW w:type="dxa" w:w="3120"/>
            <w:tcBorders>
              <w:top w:val="single" w:color="CCCCCC" w:sz="1"/>
              <w:left w:val="single" w:color="CCCCCC" w:sz="1"/>
              <w:bottom w:val="single" w:color="CCCCCC" w:sz="1"/>
              <w:right w:val="single" w:color="CCCCCC" w:sz="1"/>
            </w:tcBorders>
          </w:tcPr>
          <w:p>
            <w:r>
              <w:t xml:space="preserve">Waterproof container</w:t>
            </w:r>
          </w:p>
        </w:tc>
      </w:tr>
    </w:tbl>
    <w:p>
      <w:pPr>
        <w:pStyle w:val="Heading1"/>
        <w:spacing w:before="400"/>
      </w:pPr>
      <w:r>
        <w:t xml:space="preserve">Location Strategy: Where to Shelter</w:t>
      </w:r>
    </w:p>
    <w:p>
      <w:pPr>
        <w:spacing w:after="200"/>
      </w:pPr>
      <w:r>
        <w:t xml:space="preserve">The Cornell simulation identified the Northern Rocky Mountains, particularly Montana and Idaho, as optimal survival locations due to extremely low population density, abundant natural resources, and geographic isolation from major urban centers. Emergency management experts generally concur that remote locations with access to fresh water, arable land, and natural barriers provide the highest survivability in extended collapse scenarios.</w:t>
      </w:r>
    </w:p>
    <w:p>
      <w:pPr>
        <w:pStyle w:val="Heading2"/>
      </w:pPr>
      <w:r>
        <w:t xml:space="preserve">Shelter-in-Place vs. Bug-Out Decision Matrix</w:t>
      </w:r>
    </w:p>
    <w:p>
      <w:pPr>
        <w:spacing w:after="200"/>
      </w:pPr>
      <w:r>
        <w:t xml:space="preserve">The decision to shelter in place or evacuate depends on multiple variables. Urban survivors may need to evacuate within hours of a major outbreak, while rural residents might shelter successfully for extended periods. Key decision factors include:</w:t>
      </w:r>
    </w:p>
    <w:p>
      <w:pPr>
        <w:pStyle w:val="ListParagraph"/>
        <w:numPr>
          <w:ilvl w:val="0"/>
          <w:numId w:val="3"/>
        </w:numPr>
      </w:pPr>
      <w:r>
        <w:rPr>
          <w:b/>
          <w:bCs/>
        </w:rPr>
        <w:t xml:space="preserve">Proximity to population centers: </w:t>
      </w:r>
      <w:r>
        <w:t xml:space="preserve">Urban and suburban areas face highest immediate risk</w:t>
      </w:r>
    </w:p>
    <w:p>
      <w:pPr>
        <w:pStyle w:val="ListParagraph"/>
        <w:numPr>
          <w:ilvl w:val="0"/>
          <w:numId w:val="3"/>
        </w:numPr>
      </w:pPr>
      <w:r>
        <w:rPr>
          <w:b/>
          <w:bCs/>
        </w:rPr>
        <w:t xml:space="preserve">Resource availability: </w:t>
      </w:r>
      <w:r>
        <w:t xml:space="preserve">Water, food production potential, energy sources</w:t>
      </w:r>
    </w:p>
    <w:p>
      <w:pPr>
        <w:pStyle w:val="ListParagraph"/>
        <w:numPr>
          <w:ilvl w:val="0"/>
          <w:numId w:val="3"/>
        </w:numPr>
      </w:pPr>
      <w:r>
        <w:rPr>
          <w:b/>
          <w:bCs/>
        </w:rPr>
        <w:t xml:space="preserve">Structural security: </w:t>
      </w:r>
      <w:r>
        <w:t xml:space="preserve">Defensibility, multiple exits, elevated positions</w:t>
      </w:r>
    </w:p>
    <w:p>
      <w:pPr>
        <w:pStyle w:val="ListParagraph"/>
        <w:numPr>
          <w:ilvl w:val="0"/>
          <w:numId w:val="3"/>
        </w:numPr>
      </w:pPr>
      <w:r>
        <w:rPr>
          <w:b/>
          <w:bCs/>
        </w:rPr>
        <w:t xml:space="preserve">Community network: </w:t>
      </w:r>
      <w:r>
        <w:t xml:space="preserve">Known allies, cooperative groups, skill diversity</w:t>
      </w:r>
    </w:p>
    <w:p>
      <w:pPr>
        <w:pStyle w:val="ListParagraph"/>
        <w:numPr>
          <w:ilvl w:val="0"/>
          <w:numId w:val="3"/>
        </w:numPr>
        <w:spacing w:after="200"/>
      </w:pPr>
      <w:r>
        <w:rPr>
          <w:b/>
          <w:bCs/>
        </w:rPr>
        <w:t xml:space="preserve">Evacuation route viability: </w:t>
      </w:r>
      <w:r>
        <w:t xml:space="preserve">Road conditions, distance, fuel availability</w:t>
      </w:r>
    </w:p>
    <w:p>
      <w:pPr>
        <w:spacing w:after="200"/>
      </w:pPr>
      <w:r>
        <w:t xml:space="preserve">Dr. Lewis Dartnell, astrobiologist and author of 'The Knowledge: How to Rebuild Our World from Scratch,' suggests prisons as surprisingly effective shelter locations due to their high walls, security infrastructure, and often-present water supplies and food storage. Shopping malls, contrary to popular zombie fiction, present significant vulnerabilities including large glass surfaces and multiple entry points.</w:t>
      </w:r>
    </w:p>
    <w:p>
      <w:pPr>
        <w:pStyle w:val="Heading1"/>
      </w:pPr>
      <w:r>
        <w:t xml:space="preserve">Self-Defense Considerations</w:t>
      </w:r>
    </w:p>
    <w:p>
      <w:pPr>
        <w:spacing w:after="200"/>
      </w:pPr>
      <w:r>
        <w:t xml:space="preserve">The CDC's zombie preparedness guide notably omits weapon recommendations, noting their role as a public health agency rather than tactical advisors. However, practical survival planning requires addressing defensive capability. Max Brooks' 'The Zombie Survival Guide' provides perhaps the most detailed fictional treatment, emphasizing key principles that translate to real-world emergency scenarios.</w:t>
      </w:r>
    </w:p>
    <w:p>
      <w:pPr>
        <w:pStyle w:val="Heading2"/>
      </w:pPr>
      <w:r>
        <w:t xml:space="preserve">Melee vs. Ranged: A Practical Analysis</w:t>
      </w:r>
    </w:p>
    <w:p>
      <w:pPr>
        <w:spacing w:after="200"/>
      </w:pPr>
      <w:r>
        <w:t xml:space="preserve">Firearms offer standoff distance but create noise that attracts attention, require ammunition that becomes scarce long-term, and can malfunction without proper maintenance. The oft-repeated survival adage 'blades don't need reloading' captures genuine utility. Practical melee options include crowbars (dual-purpose entry tool), machetes (vegetation clearing and defense), and purpose-built tools like the tomahawk or hatchet.</w:t>
      </w:r>
    </w:p>
    <w:p>
      <w:pPr>
        <w:spacing w:after="200"/>
      </w:pPr>
      <w:r>
        <w:t xml:space="preserve">Physical fitness factors significantly into melee effectiveness. Even trained individuals tire quickly when delivering blows sufficient to neutralize threats, making realistic assessment of personal capability essential. Most experts recommend traveling in small groups of 3-6 people to provide mutual support and prevent exhaustion during extended defensive situations.</w:t>
      </w:r>
    </w:p>
    <w:p>
      <w:pPr>
        <w:pStyle w:val="Heading2"/>
      </w:pPr>
      <w:r>
        <w:t xml:space="preserve">Defensive Priorities</w:t>
      </w:r>
    </w:p>
    <w:p>
      <w:pPr>
        <w:pStyle w:val="ListParagraph"/>
        <w:numPr>
          <w:ilvl w:val="0"/>
          <w:numId w:val="4"/>
        </w:numPr>
      </w:pPr>
      <w:r>
        <w:rPr>
          <w:b/>
          <w:bCs/>
        </w:rPr>
        <w:t xml:space="preserve">Avoidance: </w:t>
      </w:r>
      <w:r>
        <w:t xml:space="preserve">The best fight is one that never happens. Stealth, route planning, and threat awareness prevent most confrontations.</w:t>
      </w:r>
    </w:p>
    <w:p>
      <w:pPr>
        <w:pStyle w:val="ListParagraph"/>
        <w:numPr>
          <w:ilvl w:val="0"/>
          <w:numId w:val="4"/>
        </w:numPr>
      </w:pPr>
      <w:r>
        <w:rPr>
          <w:b/>
          <w:bCs/>
        </w:rPr>
        <w:t xml:space="preserve">Barrier security: </w:t>
      </w:r>
      <w:r>
        <w:t xml:space="preserve">Reinforced doors, window bars, and early warning systems reduce direct engagement necessity.</w:t>
      </w:r>
    </w:p>
    <w:p>
      <w:pPr>
        <w:pStyle w:val="ListParagraph"/>
        <w:numPr>
          <w:ilvl w:val="0"/>
          <w:numId w:val="4"/>
        </w:numPr>
      </w:pPr>
      <w:r>
        <w:rPr>
          <w:b/>
          <w:bCs/>
        </w:rPr>
        <w:t xml:space="preserve">Escape routes: </w:t>
      </w:r>
      <w:r>
        <w:t xml:space="preserve">Multiple exit strategies prevent becoming trapped when defenses fail.</w:t>
      </w:r>
    </w:p>
    <w:p>
      <w:pPr>
        <w:pStyle w:val="ListParagraph"/>
        <w:numPr>
          <w:ilvl w:val="0"/>
          <w:numId w:val="4"/>
        </w:numPr>
        <w:spacing w:after="200"/>
      </w:pPr>
      <w:r>
        <w:rPr>
          <w:b/>
          <w:bCs/>
        </w:rPr>
        <w:t xml:space="preserve">Layered defense: </w:t>
      </w:r>
      <w:r>
        <w:t xml:space="preserve">Progressively stronger defensive positions create time for evacuation or reinforcement.</w:t>
      </w:r>
    </w:p>
    <w:p>
      <w:pPr>
        <w:pStyle w:val="Heading1"/>
      </w:pPr>
      <w:r>
        <w:t xml:space="preserve">Community Building and Long-Term Survival</w:t>
      </w:r>
    </w:p>
    <w:p>
      <w:pPr>
        <w:spacing w:after="200"/>
      </w:pPr>
      <w:r>
        <w:t xml:space="preserve">Research on disaster recovery consistently demonstrates that community resilience predicts survival outcomes better than individual preparedness alone. The Los Angeles County Department of Public Health's Community Disaster Resilience initiative emphasizes social connectivity as central to disaster survival, shifting messaging from purely supply-focused preparation to relationship-building approaches.</w:t>
      </w:r>
    </w:p>
    <w:p>
      <w:pPr>
        <w:spacing w:after="200"/>
      </w:pPr>
      <w:r>
        <w:t xml:space="preserve">Effective survivor groups demonstrate clear role differentiation including medical care, security, resource management, and communication. The prepper community calls this 'skill stacking' and recommends building groups with complementary rather than identical capabilities. A medically trained individual, someone with mechanical skills, a person with agricultural knowledge, and security-focused members create a more robust unit than five people with identical backgrounds.</w:t>
      </w:r>
    </w:p>
    <w:p>
      <w:pPr>
        <w:pStyle w:val="Heading2"/>
      </w:pPr>
      <w:r>
        <w:t xml:space="preserve">Critical Group Roles</w:t>
      </w:r>
    </w:p>
    <w:p>
      <w:pPr>
        <w:pStyle w:val="ListParagraph"/>
        <w:numPr>
          <w:ilvl w:val="0"/>
          <w:numId w:val="3"/>
        </w:numPr>
      </w:pPr>
      <w:r>
        <w:rPr>
          <w:b/>
          <w:bCs/>
        </w:rPr>
        <w:t xml:space="preserve">Medical/First Responder: </w:t>
      </w:r>
      <w:r>
        <w:t xml:space="preserve">Injury treatment, illness management, medication knowledge</w:t>
      </w:r>
    </w:p>
    <w:p>
      <w:pPr>
        <w:pStyle w:val="ListParagraph"/>
        <w:numPr>
          <w:ilvl w:val="0"/>
          <w:numId w:val="3"/>
        </w:numPr>
      </w:pPr>
      <w:r>
        <w:rPr>
          <w:b/>
          <w:bCs/>
        </w:rPr>
        <w:t xml:space="preserve">Security/Defense: </w:t>
      </w:r>
      <w:r>
        <w:t xml:space="preserve">Threat assessment, watch schedules, defensive planning</w:t>
      </w:r>
    </w:p>
    <w:p>
      <w:pPr>
        <w:pStyle w:val="ListParagraph"/>
        <w:numPr>
          <w:ilvl w:val="0"/>
          <w:numId w:val="3"/>
        </w:numPr>
      </w:pPr>
      <w:r>
        <w:rPr>
          <w:b/>
          <w:bCs/>
        </w:rPr>
        <w:t xml:space="preserve">Resource Management: </w:t>
      </w:r>
      <w:r>
        <w:t xml:space="preserve">Inventory tracking, rationing, acquisition planning</w:t>
      </w:r>
    </w:p>
    <w:p>
      <w:pPr>
        <w:pStyle w:val="ListParagraph"/>
        <w:numPr>
          <w:ilvl w:val="0"/>
          <w:numId w:val="3"/>
        </w:numPr>
      </w:pPr>
      <w:r>
        <w:rPr>
          <w:b/>
          <w:bCs/>
        </w:rPr>
        <w:t xml:space="preserve">Food Production: </w:t>
      </w:r>
      <w:r>
        <w:t xml:space="preserve">Gardening, hunting, foraging, food preservation</w:t>
      </w:r>
    </w:p>
    <w:p>
      <w:pPr>
        <w:pStyle w:val="ListParagraph"/>
        <w:numPr>
          <w:ilvl w:val="0"/>
          <w:numId w:val="3"/>
        </w:numPr>
      </w:pPr>
      <w:r>
        <w:rPr>
          <w:b/>
          <w:bCs/>
        </w:rPr>
        <w:t xml:space="preserve">Communications: </w:t>
      </w:r>
      <w:r>
        <w:t xml:space="preserve">Radio operation, inter-group liaison, intelligence gathering</w:t>
      </w:r>
    </w:p>
    <w:p>
      <w:pPr>
        <w:pStyle w:val="ListParagraph"/>
        <w:numPr>
          <w:ilvl w:val="0"/>
          <w:numId w:val="3"/>
        </w:numPr>
        <w:spacing w:after="200"/>
      </w:pPr>
      <w:r>
        <w:rPr>
          <w:b/>
          <w:bCs/>
        </w:rPr>
        <w:t xml:space="preserve">Technical/Mechanical: </w:t>
      </w:r>
      <w:r>
        <w:t xml:space="preserve">Equipment repair, power generation, fortification construction</w:t>
      </w:r>
    </w:p>
    <w:p>
      <w:pPr>
        <w:pStyle w:val="Heading1"/>
      </w:pPr>
      <w:r>
        <w:t xml:space="preserve">Creating Your Action Plan</w:t>
      </w:r>
    </w:p>
    <w:p>
      <w:pPr>
        <w:spacing w:after="200"/>
      </w:pPr>
      <w:r>
        <w:t xml:space="preserve">Comprehensive preparedness planning integrates the preceding elements into an actionable framework. FEMA's 'Be Ready' campaign and the Community Emergency Response Team (CERT) program provide structured training accessible to civilians, covering basic emergency response, fire safety, light search and rescue, and disaster medical operations.</w:t>
      </w:r>
    </w:p>
    <w:p>
      <w:pPr>
        <w:pStyle w:val="Heading2"/>
      </w:pPr>
      <w:r>
        <w:t xml:space="preserve">Immediate Action Steps</w:t>
      </w:r>
    </w:p>
    <w:p>
      <w:pPr>
        <w:pStyle w:val="ListParagraph"/>
        <w:numPr>
          <w:ilvl w:val="0"/>
          <w:numId w:val="5"/>
        </w:numPr>
      </w:pPr>
      <w:r>
        <w:rPr>
          <w:b/>
          <w:bCs/>
        </w:rPr>
        <w:t xml:space="preserve">Build a 72-hour kit: </w:t>
      </w:r>
      <w:r>
        <w:t xml:space="preserve">Start with water, food, first aid, and lighting. Expand over time rather than attempting comprehensive purchase immediately.</w:t>
      </w:r>
    </w:p>
    <w:p>
      <w:pPr>
        <w:pStyle w:val="ListParagraph"/>
        <w:numPr>
          <w:ilvl w:val="0"/>
          <w:numId w:val="5"/>
        </w:numPr>
      </w:pPr>
      <w:r>
        <w:rPr>
          <w:b/>
          <w:bCs/>
        </w:rPr>
        <w:t xml:space="preserve">Establish communication plans: </w:t>
      </w:r>
      <w:r>
        <w:t xml:space="preserve">Designate out-of-area contact points, create family meeting locations, maintain paper copies of essential contacts.</w:t>
      </w:r>
    </w:p>
    <w:p>
      <w:pPr>
        <w:pStyle w:val="ListParagraph"/>
        <w:numPr>
          <w:ilvl w:val="0"/>
          <w:numId w:val="5"/>
        </w:numPr>
      </w:pPr>
      <w:r>
        <w:rPr>
          <w:b/>
          <w:bCs/>
        </w:rPr>
        <w:t xml:space="preserve">Map evacuation routes: </w:t>
      </w:r>
      <w:r>
        <w:t xml:space="preserve">Identify multiple paths from home, work, and frequent locations. Maintain paper maps as GPS may be unavailable.</w:t>
      </w:r>
    </w:p>
    <w:p>
      <w:pPr>
        <w:pStyle w:val="ListParagraph"/>
        <w:numPr>
          <w:ilvl w:val="0"/>
          <w:numId w:val="5"/>
        </w:numPr>
      </w:pPr>
      <w:r>
        <w:rPr>
          <w:b/>
          <w:bCs/>
        </w:rPr>
        <w:t xml:space="preserve">Know your neighbors: </w:t>
      </w:r>
      <w:r>
        <w:t xml:space="preserve">Community connections provide immediate mutual aid capability and skill diversity.</w:t>
      </w:r>
    </w:p>
    <w:p>
      <w:pPr>
        <w:pStyle w:val="ListParagraph"/>
        <w:numPr>
          <w:ilvl w:val="0"/>
          <w:numId w:val="5"/>
        </w:numPr>
      </w:pPr>
      <w:r>
        <w:rPr>
          <w:b/>
          <w:bCs/>
        </w:rPr>
        <w:t xml:space="preserve">Develop practical skills: </w:t>
      </w:r>
      <w:r>
        <w:t xml:space="preserve">First aid certification, basic mechanical repair, gardening, and navigation provide lasting value beyond emergency scenarios.</w:t>
      </w:r>
    </w:p>
    <w:p>
      <w:pPr>
        <w:pStyle w:val="ListParagraph"/>
        <w:numPr>
          <w:ilvl w:val="0"/>
          <w:numId w:val="5"/>
        </w:numPr>
        <w:spacing w:after="200"/>
      </w:pPr>
      <w:r>
        <w:rPr>
          <w:b/>
          <w:bCs/>
        </w:rPr>
        <w:t xml:space="preserve">Test your preparations: </w:t>
      </w:r>
      <w:r>
        <w:t xml:space="preserve">Periodic drills and supply audits identify gaps before they become critical failures.</w:t>
      </w:r>
    </w:p>
    <w:p>
      <w:pPr>
        <w:pStyle w:val="Heading1"/>
      </w:pPr>
      <w:r>
        <w:t xml:space="preserve">Final Thoughts</w:t>
      </w:r>
    </w:p>
    <w:p>
      <w:pPr>
        <w:spacing w:after="200"/>
      </w:pPr>
      <w:r>
        <w:t xml:space="preserve">The zombie apocalypse serves as an engaging framework for addressing genuine preparedness challenges. Whether the threat is pandemic, natural disaster, infrastructure failure, or something more cinematic, the fundamental principles remain consistent: secure water, maintain nutrition, establish shelter, build community, and develop self-sufficiency skills.</w:t>
      </w:r>
    </w:p>
    <w:p>
      <w:pPr>
        <w:spacing w:after="200"/>
      </w:pPr>
      <w:r>
        <w:t xml:space="preserve">Start small. A single week of stored water and food provides meaningful security against common emergencies like extended power outages or severe weather events. Expand capabilities progressively, focusing on highest-probability scenarios first. The goal isn't preparing for every possible disaster simultaneously but building systematic resilience that improves survival odds across multiple threat types.</w:t>
      </w:r>
    </w:p>
    <w:p>
      <w:pPr>
        <w:spacing w:after="200"/>
      </w:pPr>
      <w:r>
        <w:t xml:space="preserve">As Dr. Khan noted when launching the CDC's zombie campaign: preparation isn't about fear. It's about empowerment. When you know you have plans, supplies, and skills to handle disruption, everyday uncertainty becomes more manageable. The zombies may never come, but the hurricane season will. Build your kit, know your routes, trust your neighbors, and rest easier knowing you're ready for whatever shambles your direction.</w:t>
      </w:r>
    </w:p>
    <w:p>
      <w:pPr>
        <w:spacing w:before="400"/>
      </w:pPr>
      <w:r>
        <w:rPr>
          <w:color w:val="CCCCCC"/>
        </w:rPr>
        <w:t xml:space="preserve">_______________________________________________</w:t>
      </w:r>
    </w:p>
    <w:p>
      <w:pPr>
        <w:spacing w:after="100"/>
      </w:pPr>
      <w:r>
        <w:rPr>
          <w:b/>
          <w:bCs/>
          <w:sz w:val="20"/>
          <w:szCs w:val="20"/>
        </w:rPr>
        <w:t xml:space="preserve">Research Sources: </w:t>
      </w:r>
      <w:r>
        <w:rPr>
          <w:sz w:val="20"/>
          <w:szCs w:val="20"/>
        </w:rPr>
        <w:t xml:space="preserve">CDC Zombie Preparedness (2011-present), Cornell University Statistical Mechanics Study (2015), FEMA Emergency Preparedness Guidelines, American Red Cross Survival Kit Recommendations, Ready.gov, University of Georgia Extension Service Food Storage Guidelines.</w:t>
      </w:r>
    </w:p>
    <w:p>
      <w:pPr>
        <w:spacing w:after="100"/>
      </w:pPr>
      <w:r>
        <w:rPr>
          <w:b/>
          <w:bCs/>
          <w:sz w:val="20"/>
          <w:szCs w:val="20"/>
        </w:rPr>
        <w:t xml:space="preserve">Transparency Notes: </w:t>
      </w:r>
      <w:r>
        <w:rPr>
          <w:sz w:val="20"/>
          <w:szCs w:val="20"/>
        </w:rPr>
        <w:t xml:space="preserve">This guide synthesizes publicly available emergency preparedness resources. No commercial affiliations exist with mentioned brands or suppliers. Verify all regulatory requirements for defense items in your jurisdiction.</w:t>
      </w:r>
    </w:p>
    <w:p>
      <w:r>
        <w:rPr>
          <w:i/>
          <w:iCs/>
          <w:color w:val="666666"/>
          <w:sz w:val="20"/>
          <w:szCs w:val="20"/>
        </w:rPr>
        <w:t xml:space="preserve">Last updated: January 2, 2026 | Next review scheduled: April 2026</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sz w:val="20"/>
        <w:szCs w:val="20"/>
      </w:rPr>
      <w:t xml:space="preserve">Page </w:t>
    </w:r>
    <w:r>
      <w:rPr>
        <w:sz w:val="20"/>
        <w:szCs w:val="20"/>
      </w:rPr>
      <w:fldChar w:fldCharType="begin"/>
      <w:instrText xml:space="preserve">PAGE</w:instrText>
      <w:fldChar w:fldCharType="separate"/>
      <w:fldChar w:fldCharType="end"/>
    </w:r>
    <w:r>
      <w:rPr>
        <w:sz w:val="20"/>
        <w:szCs w:val="20"/>
      </w:rPr>
      <w:t xml:space="preserve"> of </w:t>
    </w:r>
    <w:r>
      <w:rPr>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i/>
        <w:iCs/>
        <w:color w:val="666666"/>
        <w:sz w:val="20"/>
        <w:szCs w:val="20"/>
      </w:rPr>
      <w:t xml:space="preserve">Zombie Apocalypse Preparation Guide | January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pPr>
      <w:spacing w:before="0" w:after="200"/>
      <w:jc w:val="center"/>
    </w:pPr>
    <w:rPr>
      <w:rFonts w:ascii="Arial" w:cs="Arial" w:eastAsia="Arial" w:hAnsi="Arial"/>
      <w:b/>
      <w:bCs/>
      <w:color w:val="1a1a2e"/>
      <w:sz w:val="56"/>
      <w:szCs w:val="56"/>
    </w:rPr>
  </w:style>
  <w:style w:type="paragraph" w:styleId="Heading1">
    <w:name w:val="Heading 1"/>
    <w:basedOn w:val="Normal"/>
    <w:next w:val="Normal"/>
    <w:qFormat/>
    <w:pPr>
      <w:spacing w:before="400" w:after="200"/>
      <w:outlineLvl w:val="0"/>
    </w:pPr>
    <w:rPr>
      <w:rFonts w:ascii="Arial" w:cs="Arial" w:eastAsia="Arial" w:hAnsi="Arial"/>
      <w:b/>
      <w:bCs/>
      <w:color w:val="16213e"/>
      <w:sz w:val="32"/>
      <w:szCs w:val="32"/>
    </w:rPr>
  </w:style>
  <w:style w:type="paragraph" w:styleId="Heading2">
    <w:name w:val="Heading 2"/>
    <w:basedOn w:val="Normal"/>
    <w:next w:val="Normal"/>
    <w:qFormat/>
    <w:pPr>
      <w:spacing w:before="300" w:after="150"/>
      <w:outlineLvl w:val="1"/>
    </w:pPr>
    <w:rPr>
      <w:rFonts w:ascii="Arial" w:cs="Arial" w:eastAsia="Arial" w:hAnsi="Arial"/>
      <w:b/>
      <w:bCs/>
      <w:color w:val="0f3460"/>
      <w:sz w:val="28"/>
      <w:szCs w:val="28"/>
    </w:rPr>
  </w:style>
  <w:style w:type="paragraph" w:styleId="Heading3">
    <w:name w:val="Heading 3"/>
    <w:basedOn w:val="Normal"/>
    <w:next w:val="Normal"/>
    <w:qFormat/>
    <w:pPr>
      <w:spacing w:before="240" w:after="120"/>
      <w:outlineLvl w:val="2"/>
    </w:pPr>
    <w:rPr>
      <w:rFonts w:ascii="Arial" w:cs="Arial" w:eastAsia="Arial" w:hAnsi="Arial"/>
      <w:b/>
      <w:bCs/>
      <w:color w:val="1a1a2e"/>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2026-01-02T17:04:52.009Z</dcterms:created>
  <dcterms:modified xsi:type="dcterms:W3CDTF">2026-01-02T17:04:52.010Z</dcterms:modified>
</cp:coreProperties>
</file>

<file path=docProps/custom.xml><?xml version="1.0" encoding="utf-8"?>
<Properties xmlns="http://schemas.openxmlformats.org/officeDocument/2006/custom-properties" xmlns:vt="http://schemas.openxmlformats.org/officeDocument/2006/docPropsVTypes"/>
</file>